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"/>
        <w:gridCol w:w="1559"/>
        <w:gridCol w:w="2128"/>
        <w:gridCol w:w="2394"/>
        <w:gridCol w:w="2394"/>
      </w:tblGrid>
      <w:tr w:rsidR="003F3231" w:rsidTr="003F3231">
        <w:tc>
          <w:tcPr>
            <w:tcW w:w="2660" w:type="dxa"/>
            <w:gridSpan w:val="2"/>
            <w:vAlign w:val="center"/>
          </w:tcPr>
          <w:p w:rsidR="003F3231" w:rsidRPr="003F3231" w:rsidRDefault="003F3231" w:rsidP="003F3231">
            <w:pPr>
              <w:rPr>
                <w:b/>
                <w:lang w:val="en-GB"/>
              </w:rPr>
            </w:pPr>
            <w:r w:rsidRPr="003F3231">
              <w:rPr>
                <w:b/>
                <w:lang w:val="en-GB"/>
              </w:rPr>
              <w:t>WHS Procedure Title:</w:t>
            </w:r>
          </w:p>
        </w:tc>
        <w:tc>
          <w:tcPr>
            <w:tcW w:w="6916" w:type="dxa"/>
            <w:gridSpan w:val="3"/>
            <w:vAlign w:val="center"/>
          </w:tcPr>
          <w:p w:rsidR="003F3231" w:rsidRDefault="003F3231" w:rsidP="003F3231">
            <w:pPr>
              <w:rPr>
                <w:lang w:val="en-GB"/>
              </w:rPr>
            </w:pPr>
            <w:r>
              <w:rPr>
                <w:lang w:val="en-GB"/>
              </w:rPr>
              <w:t>How to Manage Work Health &amp; Safety Risks</w:t>
            </w:r>
          </w:p>
        </w:tc>
      </w:tr>
      <w:tr w:rsidR="003F3231" w:rsidTr="003F3231">
        <w:tc>
          <w:tcPr>
            <w:tcW w:w="2660" w:type="dxa"/>
            <w:gridSpan w:val="2"/>
            <w:vAlign w:val="center"/>
          </w:tcPr>
          <w:p w:rsidR="003F3231" w:rsidRPr="003F3231" w:rsidRDefault="003F3231" w:rsidP="003F3231">
            <w:pPr>
              <w:rPr>
                <w:b/>
                <w:lang w:val="en-GB"/>
              </w:rPr>
            </w:pPr>
            <w:r w:rsidRPr="003F3231">
              <w:rPr>
                <w:b/>
                <w:lang w:val="en-GB"/>
              </w:rPr>
              <w:t>WHS Procedure No.</w:t>
            </w:r>
          </w:p>
        </w:tc>
        <w:tc>
          <w:tcPr>
            <w:tcW w:w="2128" w:type="dxa"/>
            <w:vAlign w:val="center"/>
          </w:tcPr>
          <w:p w:rsidR="003F3231" w:rsidRDefault="003F3231" w:rsidP="003F3231">
            <w:pPr>
              <w:rPr>
                <w:lang w:val="en-GB"/>
              </w:rPr>
            </w:pPr>
            <w:r>
              <w:rPr>
                <w:lang w:val="en-GB"/>
              </w:rPr>
              <w:t>SB005</w:t>
            </w:r>
          </w:p>
        </w:tc>
        <w:tc>
          <w:tcPr>
            <w:tcW w:w="2394" w:type="dxa"/>
            <w:vAlign w:val="center"/>
          </w:tcPr>
          <w:p w:rsidR="003F3231" w:rsidRPr="003F3231" w:rsidRDefault="003F3231" w:rsidP="003F3231">
            <w:pPr>
              <w:rPr>
                <w:b/>
                <w:lang w:val="en-GB"/>
              </w:rPr>
            </w:pPr>
            <w:r w:rsidRPr="003F3231">
              <w:rPr>
                <w:b/>
                <w:lang w:val="en-GB"/>
              </w:rPr>
              <w:t>Authorised Date</w:t>
            </w:r>
          </w:p>
        </w:tc>
        <w:tc>
          <w:tcPr>
            <w:tcW w:w="2394" w:type="dxa"/>
            <w:vAlign w:val="center"/>
          </w:tcPr>
          <w:p w:rsidR="003F3231" w:rsidRDefault="003F3231" w:rsidP="003F3231">
            <w:pPr>
              <w:rPr>
                <w:lang w:val="en-GB"/>
              </w:rPr>
            </w:pPr>
            <w:r>
              <w:rPr>
                <w:lang w:val="en-GB"/>
              </w:rPr>
              <w:t>03 March 2024</w:t>
            </w:r>
          </w:p>
        </w:tc>
      </w:tr>
      <w:tr w:rsidR="003F3231" w:rsidTr="0001772A">
        <w:tc>
          <w:tcPr>
            <w:tcW w:w="1101" w:type="dxa"/>
          </w:tcPr>
          <w:p w:rsidR="003F3231" w:rsidRPr="00736115" w:rsidRDefault="003F3231" w:rsidP="0001772A">
            <w:pPr>
              <w:rPr>
                <w:b/>
                <w:lang w:val="en-GB"/>
              </w:rPr>
            </w:pPr>
            <w:r w:rsidRPr="00736115">
              <w:rPr>
                <w:b/>
                <w:lang w:val="en-GB"/>
              </w:rPr>
              <w:t>Review:</w:t>
            </w:r>
          </w:p>
        </w:tc>
        <w:tc>
          <w:tcPr>
            <w:tcW w:w="8475" w:type="dxa"/>
            <w:gridSpan w:val="4"/>
          </w:tcPr>
          <w:p w:rsidR="003F3231" w:rsidRPr="003F3231" w:rsidRDefault="003F3231" w:rsidP="0001772A">
            <w:pPr>
              <w:rPr>
                <w:sz w:val="20"/>
                <w:lang w:val="en-GB"/>
              </w:rPr>
            </w:pPr>
            <w:r w:rsidRPr="003F3231">
              <w:rPr>
                <w:sz w:val="20"/>
                <w:lang w:val="en-GB"/>
              </w:rPr>
              <w:t>Annual General Meeting  Executive &amp; Management Committee Meeting- March each year</w:t>
            </w:r>
          </w:p>
        </w:tc>
      </w:tr>
    </w:tbl>
    <w:p w:rsidR="00AA154B" w:rsidRDefault="003F3231" w:rsidP="00AA154B">
      <w:pPr>
        <w:pStyle w:val="Heading2"/>
        <w:rPr>
          <w:lang w:val="en-GB"/>
        </w:rPr>
      </w:pPr>
      <w:r>
        <w:rPr>
          <w:lang w:val="en-GB"/>
        </w:rPr>
        <w:t>Purpose and Scope</w:t>
      </w:r>
    </w:p>
    <w:p w:rsidR="00AA154B" w:rsidRDefault="00AA154B" w:rsidP="00AA154B">
      <w:pPr>
        <w:rPr>
          <w:lang w:val="en-GB"/>
        </w:rPr>
      </w:pPr>
      <w:r>
        <w:rPr>
          <w:lang w:val="en-GB"/>
        </w:rPr>
        <w:t xml:space="preserve">This WHS Procedure </w:t>
      </w:r>
      <w:r w:rsidR="003F3231">
        <w:rPr>
          <w:lang w:val="en-GB"/>
        </w:rPr>
        <w:t>outlines requirements for managing WHS Risks in the Sub Branch work sites</w:t>
      </w:r>
      <w:r w:rsidR="00F70577">
        <w:rPr>
          <w:lang w:val="en-GB"/>
        </w:rPr>
        <w:t>.  This procedure applies to all Sub Branch workers and other persons whilst on sub Branch sites.</w:t>
      </w:r>
    </w:p>
    <w:p w:rsidR="003F3231" w:rsidRDefault="003F3231" w:rsidP="003F3231">
      <w:pPr>
        <w:pStyle w:val="Heading1"/>
        <w:numPr>
          <w:ilvl w:val="0"/>
          <w:numId w:val="9"/>
        </w:numPr>
      </w:pPr>
      <w:r>
        <w:t>Sub Branch sites</w:t>
      </w:r>
    </w:p>
    <w:p w:rsidR="003F3231" w:rsidRDefault="003F3231" w:rsidP="003F3231">
      <w:r>
        <w:t>Sub Branch Sites include:</w:t>
      </w:r>
    </w:p>
    <w:p w:rsidR="003F3231" w:rsidRDefault="003F3231" w:rsidP="003F3231">
      <w:pPr>
        <w:pStyle w:val="ListParagraph"/>
        <w:numPr>
          <w:ilvl w:val="0"/>
          <w:numId w:val="8"/>
        </w:numPr>
      </w:pPr>
      <w:r>
        <w:t>Main Sub Branch Office located in Club Ltd premises;</w:t>
      </w:r>
    </w:p>
    <w:p w:rsidR="003F3231" w:rsidRDefault="003F3231" w:rsidP="003F3231">
      <w:pPr>
        <w:pStyle w:val="ListParagraph"/>
        <w:numPr>
          <w:ilvl w:val="0"/>
          <w:numId w:val="8"/>
        </w:numPr>
      </w:pPr>
      <w:r>
        <w:t>Gardens and Park Office;</w:t>
      </w:r>
    </w:p>
    <w:p w:rsidR="003F3231" w:rsidRDefault="003F3231" w:rsidP="003F3231">
      <w:pPr>
        <w:pStyle w:val="ListParagraph"/>
        <w:numPr>
          <w:ilvl w:val="0"/>
          <w:numId w:val="8"/>
        </w:numPr>
      </w:pPr>
      <w:r>
        <w:t>Ingleburn RSL Sub Branch Memorial Gardens;</w:t>
      </w:r>
    </w:p>
    <w:p w:rsidR="003F3231" w:rsidRDefault="003F3231" w:rsidP="003F3231">
      <w:pPr>
        <w:pStyle w:val="ListParagraph"/>
        <w:numPr>
          <w:ilvl w:val="0"/>
          <w:numId w:val="8"/>
        </w:numPr>
      </w:pPr>
      <w:r>
        <w:t>Sister Helen FJC Haultain Memorial Park;</w:t>
      </w:r>
    </w:p>
    <w:p w:rsidR="003F3231" w:rsidRDefault="003F3231" w:rsidP="003F3231">
      <w:pPr>
        <w:pStyle w:val="ListParagraph"/>
        <w:numPr>
          <w:ilvl w:val="0"/>
          <w:numId w:val="8"/>
        </w:numPr>
      </w:pPr>
      <w:r>
        <w:t>Sub Branch Bus;</w:t>
      </w:r>
    </w:p>
    <w:p w:rsidR="003F3231" w:rsidRDefault="003F3231" w:rsidP="003F3231">
      <w:pPr>
        <w:pStyle w:val="ListParagraph"/>
        <w:numPr>
          <w:ilvl w:val="0"/>
          <w:numId w:val="8"/>
        </w:numPr>
      </w:pPr>
      <w:r>
        <w:t>Offsite areas e.g. Service Members/Auxiliary homes, Hospitals, Nursing homes</w:t>
      </w:r>
    </w:p>
    <w:p w:rsidR="003F3231" w:rsidRPr="00454DE6" w:rsidRDefault="003F3231" w:rsidP="003F3231">
      <w:pPr>
        <w:pStyle w:val="Heading1"/>
      </w:pPr>
      <w:r w:rsidRPr="00454DE6">
        <w:t>Context</w:t>
      </w:r>
    </w:p>
    <w:p w:rsidR="003F3231" w:rsidRDefault="003F3231" w:rsidP="00AA154B">
      <w:pPr>
        <w:rPr>
          <w:lang w:val="en-GB"/>
        </w:rPr>
      </w:pPr>
      <w:r>
        <w:rPr>
          <w:lang w:val="en-GB"/>
        </w:rPr>
        <w:t>Ingleburn RSL sub Branch has a legal Duty to Eliminate all hazards in the workplace if reasonably practicable to do so and if it is not reasonably practicable the Sub Branch must minimise the risks of a hazard occurring using the Hier</w:t>
      </w:r>
      <w:r w:rsidR="00F70577">
        <w:rPr>
          <w:lang w:val="en-GB"/>
        </w:rPr>
        <w:t>archy of Control Measures so far as is reasonably practicable.</w:t>
      </w:r>
    </w:p>
    <w:p w:rsidR="00F70577" w:rsidRDefault="00F70577" w:rsidP="00AA154B">
      <w:pPr>
        <w:rPr>
          <w:lang w:val="en-GB"/>
        </w:rPr>
      </w:pPr>
      <w:r>
        <w:rPr>
          <w:lang w:val="en-GB"/>
        </w:rPr>
        <w:t>Ingleburn RSL sub Branch has a Primary Duty of Care to Manage WHS Risks under WHS Act 2011 s.19 &amp; WHS Regulation 2017 Clauses 34 to 38 and provide information on control measures to all parties under Clause 39.</w:t>
      </w:r>
    </w:p>
    <w:p w:rsidR="00F70577" w:rsidRDefault="00F70577" w:rsidP="00F70577">
      <w:pPr>
        <w:pStyle w:val="Heading1"/>
      </w:pPr>
      <w:r>
        <w:t>Reporting</w:t>
      </w:r>
    </w:p>
    <w:p w:rsidR="00F70577" w:rsidRPr="00F70577" w:rsidRDefault="00F70577" w:rsidP="00F70577">
      <w:r>
        <w:t>Ingleburn RSL Sub Branch has a duty to report and record all risk assessment of reported Hazards in the Sub Branch Corrective Action Register and all consultation with stakeholder recorded in Sub Branch Monthly Meetings.</w:t>
      </w:r>
    </w:p>
    <w:p w:rsidR="005B48DE" w:rsidRDefault="005B48D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</w:rPr>
      </w:pPr>
      <w:r>
        <w:br w:type="page"/>
      </w:r>
    </w:p>
    <w:p w:rsidR="00DB08AE" w:rsidRDefault="00DB08AE" w:rsidP="00DB08AE">
      <w:pPr>
        <w:pStyle w:val="Heading3"/>
      </w:pPr>
      <w:r>
        <w:lastRenderedPageBreak/>
        <w:t>A SAFER Approach</w:t>
      </w:r>
    </w:p>
    <w:p w:rsidR="00445DDF" w:rsidRPr="00445DDF" w:rsidRDefault="0093341C" w:rsidP="00445D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8pt;margin-top:499.05pt;width:33pt;height:65.25pt;z-index:251672576" stroked="f">
            <v:textbox>
              <w:txbxContent>
                <w:p w:rsidR="00805B9E" w:rsidRDefault="00805B9E">
                  <w:pPr>
                    <w:rPr>
                      <w:b/>
                      <w:sz w:val="44"/>
                      <w:lang w:val="en-GB"/>
                    </w:rPr>
                  </w:pPr>
                </w:p>
                <w:p w:rsidR="00805B9E" w:rsidRDefault="00805B9E">
                  <w:pPr>
                    <w:rPr>
                      <w:b/>
                      <w:sz w:val="44"/>
                      <w:lang w:val="en-GB"/>
                    </w:rPr>
                  </w:pPr>
                </w:p>
                <w:p w:rsidR="00805B9E" w:rsidRDefault="00805B9E">
                  <w:pPr>
                    <w:rPr>
                      <w:b/>
                      <w:sz w:val="44"/>
                      <w:lang w:val="en-GB"/>
                    </w:rPr>
                  </w:pPr>
                </w:p>
                <w:p w:rsidR="00805B9E" w:rsidRDefault="00805B9E">
                  <w:pPr>
                    <w:rPr>
                      <w:b/>
                      <w:sz w:val="44"/>
                      <w:lang w:val="en-GB"/>
                    </w:rPr>
                  </w:pPr>
                </w:p>
                <w:p w:rsidR="00805B9E" w:rsidRDefault="00805B9E">
                  <w:pPr>
                    <w:rPr>
                      <w:b/>
                      <w:sz w:val="44"/>
                      <w:lang w:val="en-GB"/>
                    </w:rPr>
                  </w:pPr>
                </w:p>
                <w:p w:rsidR="00275B04" w:rsidRPr="00275B04" w:rsidRDefault="00275B04">
                  <w:pPr>
                    <w:rPr>
                      <w:b/>
                      <w:sz w:val="44"/>
                      <w:lang w:val="en-GB"/>
                    </w:rPr>
                  </w:pPr>
                  <w:r w:rsidRPr="00275B04">
                    <w:rPr>
                      <w:b/>
                      <w:sz w:val="44"/>
                      <w:lang w:val="en-GB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27pt;margin-top:33.15pt;width:42pt;height:42.7pt;z-index:251668480" stroked="f">
            <v:textbox>
              <w:txbxContent>
                <w:p w:rsidR="00275B04" w:rsidRPr="00275B04" w:rsidRDefault="00275B04">
                  <w:pPr>
                    <w:rPr>
                      <w:b/>
                      <w:sz w:val="44"/>
                      <w:lang w:val="en-GB"/>
                    </w:rPr>
                  </w:pPr>
                  <w:r w:rsidRPr="00275B04">
                    <w:rPr>
                      <w:b/>
                      <w:sz w:val="44"/>
                      <w:lang w:val="en-GB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23.25pt;margin-top:140.55pt;width:42pt;height:63.75pt;z-index:251669504" stroked="f">
            <v:textbox>
              <w:txbxContent>
                <w:p w:rsidR="00275B04" w:rsidRPr="00275B04" w:rsidRDefault="00275B04">
                  <w:pPr>
                    <w:rPr>
                      <w:b/>
                      <w:sz w:val="44"/>
                      <w:lang w:val="en-GB"/>
                    </w:rPr>
                  </w:pPr>
                  <w:r w:rsidRPr="00275B04">
                    <w:rPr>
                      <w:b/>
                      <w:sz w:val="44"/>
                      <w:lang w:val="en-GB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20.25pt;margin-top:253.05pt;width:37.35pt;height:42pt;z-index:251670528" stroked="f">
            <v:textbox>
              <w:txbxContent>
                <w:p w:rsidR="00275B04" w:rsidRPr="00275B04" w:rsidRDefault="00275B04">
                  <w:pPr>
                    <w:rPr>
                      <w:b/>
                      <w:sz w:val="44"/>
                      <w:lang w:val="en-GB"/>
                    </w:rPr>
                  </w:pPr>
                  <w:r w:rsidRPr="00275B04">
                    <w:rPr>
                      <w:b/>
                      <w:sz w:val="44"/>
                      <w:lang w:val="en-GB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20.25pt;margin-top:385.8pt;width:35.25pt;height:65.25pt;z-index:251671552" stroked="f">
            <v:textbox>
              <w:txbxContent>
                <w:p w:rsidR="00275B04" w:rsidRPr="00275B04" w:rsidRDefault="00275B04">
                  <w:pPr>
                    <w:rPr>
                      <w:b/>
                      <w:sz w:val="44"/>
                      <w:lang w:val="en-GB"/>
                    </w:rPr>
                  </w:pPr>
                  <w:r w:rsidRPr="00275B04">
                    <w:rPr>
                      <w:b/>
                      <w:sz w:val="44"/>
                      <w:lang w:val="en-GB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8.75pt;margin-top:382.05pt;width:177pt;height:78pt;z-index:2516643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4F11C7" w:rsidRDefault="004F11C7">
                  <w:pPr>
                    <w:rPr>
                      <w:b/>
                      <w:color w:val="FFFF00"/>
                      <w:lang w:val="en-GB"/>
                    </w:rPr>
                  </w:pPr>
                  <w:r w:rsidRPr="004F11C7">
                    <w:rPr>
                      <w:b/>
                      <w:color w:val="FFFF00"/>
                      <w:sz w:val="28"/>
                      <w:lang w:val="en-GB"/>
                    </w:rPr>
                    <w:t>E</w:t>
                  </w:r>
                  <w:r w:rsidRPr="004F11C7">
                    <w:rPr>
                      <w:b/>
                      <w:color w:val="FFFF00"/>
                      <w:lang w:val="en-GB"/>
                    </w:rPr>
                    <w:t>VALUATE THE CONTROLS</w:t>
                  </w:r>
                </w:p>
                <w:p w:rsidR="00275B04" w:rsidRPr="004F11C7" w:rsidRDefault="00275B04">
                  <w:pPr>
                    <w:rPr>
                      <w:b/>
                      <w:color w:val="FFFF00"/>
                      <w:lang w:val="en-GB"/>
                    </w:rPr>
                  </w:pPr>
                  <w:r>
                    <w:rPr>
                      <w:b/>
                      <w:color w:val="FFFF00"/>
                      <w:lang w:val="en-GB"/>
                    </w:rPr>
                    <w:t>Workplace Inspections/Audits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in;margin-top:499.05pt;width:211.5pt;height:75.75pt;z-index:251667456">
            <v:textbox>
              <w:txbxContent>
                <w:p w:rsidR="004F11C7" w:rsidRPr="004F11C7" w:rsidRDefault="004F11C7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WHS REGULATION 2017 cl.39 Provision of information training </w:t>
                  </w:r>
                  <w:proofErr w:type="spellStart"/>
                  <w:r>
                    <w:rPr>
                      <w:lang w:val="en-GB"/>
                    </w:rPr>
                    <w:t>andf</w:t>
                  </w:r>
                  <w:proofErr w:type="spellEnd"/>
                  <w:r>
                    <w:rPr>
                      <w:lang w:val="en-GB"/>
                    </w:rPr>
                    <w:t xml:space="preserve"> instruction COP </w:t>
                  </w:r>
                  <w:r w:rsidR="00275B04">
                    <w:rPr>
                      <w:lang w:val="en-GB"/>
                    </w:rPr>
                    <w:t>s.6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4.75pt;margin-top:499.05pt;width:171pt;height:69.75pt;z-index:251666432" fillcolor="#00b050">
            <v:textbox>
              <w:txbxContent>
                <w:p w:rsidR="004F11C7" w:rsidRPr="004F11C7" w:rsidRDefault="004F11C7">
                  <w:pPr>
                    <w:rPr>
                      <w:b/>
                      <w:color w:val="FFFF00"/>
                      <w:lang w:val="en-GB"/>
                    </w:rPr>
                  </w:pPr>
                  <w:r w:rsidRPr="004F11C7">
                    <w:rPr>
                      <w:b/>
                      <w:color w:val="FFFF00"/>
                      <w:lang w:val="en-GB"/>
                    </w:rPr>
                    <w:t>RECORD THE INFORMATION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08.35pt;margin-top:382.05pt;width:246pt;height:85.5pt;z-index:251665408" stroked="f">
            <v:textbox>
              <w:txbxContent>
                <w:p w:rsidR="004F11C7" w:rsidRDefault="004F11C7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WHS REG 2017 cl.37, 38 &amp; COP s.4.3 </w:t>
                  </w:r>
                  <w:proofErr w:type="gramStart"/>
                  <w:r>
                    <w:rPr>
                      <w:lang w:val="en-GB"/>
                    </w:rPr>
                    <w:t>How</w:t>
                  </w:r>
                  <w:proofErr w:type="gramEnd"/>
                  <w:r>
                    <w:rPr>
                      <w:lang w:val="en-GB"/>
                    </w:rPr>
                    <w:t xml:space="preserve"> effective are the implemented controls &amp; s.5 how to review controls</w:t>
                  </w:r>
                </w:p>
                <w:p w:rsidR="004F11C7" w:rsidRPr="004F11C7" w:rsidRDefault="004F11C7">
                  <w:pPr>
                    <w:rPr>
                      <w:b/>
                      <w:sz w:val="28"/>
                      <w:lang w:val="en-GB"/>
                    </w:rPr>
                  </w:pPr>
                  <w:r w:rsidRPr="004F11C7">
                    <w:rPr>
                      <w:b/>
                      <w:sz w:val="28"/>
                      <w:lang w:val="en-GB"/>
                    </w:rPr>
                    <w:t>T</w:t>
                  </w:r>
                  <w:r>
                    <w:rPr>
                      <w:b/>
                      <w:sz w:val="28"/>
                      <w:lang w:val="en-GB"/>
                    </w:rPr>
                    <w:t>.</w:t>
                  </w:r>
                  <w:r w:rsidRPr="004F11C7">
                    <w:rPr>
                      <w:b/>
                      <w:sz w:val="28"/>
                      <w:lang w:val="en-GB"/>
                    </w:rPr>
                    <w:t>O</w:t>
                  </w:r>
                  <w:r>
                    <w:rPr>
                      <w:b/>
                      <w:sz w:val="28"/>
                      <w:lang w:val="en-GB"/>
                    </w:rPr>
                    <w:t>.</w:t>
                  </w:r>
                  <w:r w:rsidRPr="004F11C7">
                    <w:rPr>
                      <w:b/>
                      <w:sz w:val="28"/>
                      <w:lang w:val="en-GB"/>
                    </w:rPr>
                    <w:t>M</w:t>
                  </w:r>
                  <w:r>
                    <w:rPr>
                      <w:b/>
                      <w:sz w:val="28"/>
                      <w:lang w:val="en-GB"/>
                    </w:rPr>
                    <w:t xml:space="preserve">. </w:t>
                  </w:r>
                  <w:r w:rsidRPr="004F11C7">
                    <w:rPr>
                      <w:lang w:val="en-GB"/>
                    </w:rPr>
                    <w:t>process is practiced again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99.5pt;margin-top:253.05pt;width:182.25pt;height:67.5pt;z-index:251663360" stroked="f">
            <v:textbox>
              <w:txbxContent>
                <w:p w:rsidR="005B48DE" w:rsidRDefault="005B48DE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WHS REGULATION 2017 cl. 36</w:t>
                  </w:r>
                </w:p>
                <w:p w:rsidR="005B48DE" w:rsidRPr="005B48DE" w:rsidRDefault="005B48DE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COP s.4 How to Control risks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5pt;margin-top:253.05pt;width:141pt;height:30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5B48DE" w:rsidRPr="005B48DE" w:rsidRDefault="005B48DE">
                  <w:pPr>
                    <w:rPr>
                      <w:b/>
                      <w:color w:val="FFFFFF" w:themeColor="background1"/>
                      <w:lang w:val="en-GB"/>
                    </w:rPr>
                  </w:pPr>
                  <w:r w:rsidRPr="005B48DE">
                    <w:rPr>
                      <w:b/>
                      <w:color w:val="FFFFFF" w:themeColor="background1"/>
                      <w:sz w:val="28"/>
                      <w:lang w:val="en-GB"/>
                    </w:rPr>
                    <w:t>F</w:t>
                  </w:r>
                  <w:r w:rsidRPr="005B48DE">
                    <w:rPr>
                      <w:b/>
                      <w:color w:val="FFFFFF" w:themeColor="background1"/>
                      <w:lang w:val="en-GB"/>
                    </w:rPr>
                    <w:t>IX THE HAZARD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86.75pt;margin-top:134.5pt;width:212.25pt;height:78pt;z-index:251661312" stroked="f">
            <v:textbox>
              <w:txbxContent>
                <w:p w:rsidR="005B48DE" w:rsidRPr="005B48DE" w:rsidRDefault="005B48DE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WHS </w:t>
                  </w:r>
                  <w:proofErr w:type="spellStart"/>
                  <w:r>
                    <w:rPr>
                      <w:lang w:val="en-GB"/>
                    </w:rPr>
                    <w:t>Reg</w:t>
                  </w:r>
                  <w:proofErr w:type="spellEnd"/>
                  <w:r>
                    <w:rPr>
                      <w:lang w:val="en-GB"/>
                    </w:rPr>
                    <w:t xml:space="preserve"> 2017 cl.35 &amp; COP s.3.1 &amp; 3.2 When to conduct a risk assessment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5pt;margin-top:134.5pt;width:135.75pt;height:78pt;z-index:2516602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445DDF" w:rsidRDefault="00445DDF">
                  <w:pPr>
                    <w:rPr>
                      <w:b/>
                      <w:lang w:val="en-GB"/>
                    </w:rPr>
                  </w:pPr>
                  <w:r w:rsidRPr="005B48DE">
                    <w:rPr>
                      <w:b/>
                      <w:sz w:val="28"/>
                      <w:lang w:val="en-GB"/>
                    </w:rPr>
                    <w:t>A</w:t>
                  </w:r>
                  <w:r w:rsidRPr="005B48DE">
                    <w:rPr>
                      <w:b/>
                      <w:lang w:val="en-GB"/>
                    </w:rPr>
                    <w:t>ssess the Risks</w:t>
                  </w:r>
                </w:p>
                <w:p w:rsidR="005B48DE" w:rsidRDefault="005B48DE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Likelihood &amp; Severity</w:t>
                  </w:r>
                </w:p>
                <w:p w:rsidR="005B48DE" w:rsidRPr="005B48DE" w:rsidRDefault="005B48DE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Considerations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76.25pt;margin-top:9.25pt;width:333.75pt;height:111pt;z-index:251659264" stroked="f">
            <v:textbox>
              <w:txbxContent>
                <w:p w:rsidR="00445DDF" w:rsidRDefault="00445DDF">
                  <w:pPr>
                    <w:rPr>
                      <w:lang w:val="en-GB"/>
                    </w:rPr>
                  </w:pPr>
                  <w:r w:rsidRPr="00445DDF">
                    <w:rPr>
                      <w:b/>
                      <w:sz w:val="28"/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>alk to all stakeholders</w:t>
                  </w:r>
                </w:p>
                <w:p w:rsidR="00445DDF" w:rsidRDefault="00445DDF">
                  <w:pPr>
                    <w:rPr>
                      <w:lang w:val="en-GB"/>
                    </w:rPr>
                  </w:pPr>
                  <w:r w:rsidRPr="00445DDF">
                    <w:rPr>
                      <w:b/>
                      <w:sz w:val="28"/>
                      <w:lang w:val="en-GB"/>
                    </w:rPr>
                    <w:t>O</w:t>
                  </w:r>
                  <w:r>
                    <w:rPr>
                      <w:lang w:val="en-GB"/>
                    </w:rPr>
                    <w:t>bserve the work activity/task to identify risk factors,</w:t>
                  </w:r>
                </w:p>
                <w:p w:rsidR="00445DDF" w:rsidRPr="00445DDF" w:rsidRDefault="00445DDF">
                  <w:pPr>
                    <w:rPr>
                      <w:lang w:val="en-GB"/>
                    </w:rPr>
                  </w:pPr>
                  <w:r w:rsidRPr="00445DDF">
                    <w:rPr>
                      <w:b/>
                      <w:sz w:val="28"/>
                      <w:lang w:val="en-GB"/>
                    </w:rPr>
                    <w:t>M</w:t>
                  </w:r>
                  <w:r>
                    <w:rPr>
                      <w:lang w:val="en-GB"/>
                    </w:rPr>
                    <w:t>onitor any accident incident data that would increase the possible severity of the Hazard causing harm</w:t>
                  </w:r>
                  <w:r w:rsidR="005B48DE">
                    <w:rPr>
                      <w:lang w:val="en-GB"/>
                    </w:rPr>
                    <w:br/>
                    <w:t>COP s.2.1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5pt;margin-top:9.25pt;width:135.75pt;height:66.75pt;z-index:251658240" fillcolor="red" strokecolor="#f2f2f2 [3041]" strokeweight="3pt">
            <v:shadow on="t" type="perspective" color="#622423 [1605]" opacity=".5" offset="1pt" offset2="-1pt"/>
            <v:textbox>
              <w:txbxContent>
                <w:p w:rsidR="00445DDF" w:rsidRDefault="00445DDF">
                  <w:pPr>
                    <w:rPr>
                      <w:b/>
                      <w:color w:val="FFFFFF" w:themeColor="background1"/>
                      <w:lang w:val="en-GB"/>
                    </w:rPr>
                  </w:pPr>
                  <w:r w:rsidRPr="005B48DE">
                    <w:rPr>
                      <w:b/>
                      <w:color w:val="FFFFFF" w:themeColor="background1"/>
                      <w:sz w:val="28"/>
                      <w:lang w:val="en-GB"/>
                    </w:rPr>
                    <w:t>S</w:t>
                  </w:r>
                  <w:r>
                    <w:rPr>
                      <w:b/>
                      <w:color w:val="FFFFFF" w:themeColor="background1"/>
                      <w:lang w:val="en-GB"/>
                    </w:rPr>
                    <w:t>pot the Hazard</w:t>
                  </w:r>
                </w:p>
                <w:p w:rsidR="00445DDF" w:rsidRPr="00445DDF" w:rsidRDefault="00445DDF">
                  <w:pPr>
                    <w:rPr>
                      <w:b/>
                      <w:color w:val="FFFFFF" w:themeColor="background1"/>
                      <w:lang w:val="en-GB"/>
                    </w:rPr>
                  </w:pPr>
                  <w:r>
                    <w:rPr>
                      <w:b/>
                      <w:color w:val="FFFFFF" w:themeColor="background1"/>
                      <w:lang w:val="en-GB"/>
                    </w:rPr>
                    <w:t xml:space="preserve">WHS </w:t>
                  </w:r>
                  <w:proofErr w:type="spellStart"/>
                  <w:r>
                    <w:rPr>
                      <w:b/>
                      <w:color w:val="FFFFFF" w:themeColor="background1"/>
                      <w:lang w:val="en-GB"/>
                    </w:rPr>
                    <w:t>Reg</w:t>
                  </w:r>
                  <w:proofErr w:type="spellEnd"/>
                  <w:r>
                    <w:rPr>
                      <w:b/>
                      <w:color w:val="FFFFFF" w:themeColor="background1"/>
                      <w:lang w:val="en-GB"/>
                    </w:rPr>
                    <w:t xml:space="preserve"> 2017 cl. 34 &amp; COP s.2</w:t>
                  </w:r>
                </w:p>
              </w:txbxContent>
            </v:textbox>
          </v:shape>
        </w:pict>
      </w:r>
    </w:p>
    <w:sectPr w:rsidR="00445DDF" w:rsidRPr="00445DDF" w:rsidSect="0013245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9F" w:rsidRDefault="00C3419F" w:rsidP="003F3231">
      <w:pPr>
        <w:spacing w:after="0" w:line="240" w:lineRule="auto"/>
      </w:pPr>
      <w:r>
        <w:separator/>
      </w:r>
    </w:p>
  </w:endnote>
  <w:endnote w:type="continuationSeparator" w:id="0">
    <w:p w:rsidR="00C3419F" w:rsidRDefault="00C3419F" w:rsidP="003F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9F" w:rsidRDefault="00C3419F" w:rsidP="003F3231">
      <w:pPr>
        <w:spacing w:after="0" w:line="240" w:lineRule="auto"/>
      </w:pPr>
      <w:r>
        <w:separator/>
      </w:r>
    </w:p>
  </w:footnote>
  <w:footnote w:type="continuationSeparator" w:id="0">
    <w:p w:rsidR="00C3419F" w:rsidRDefault="00C3419F" w:rsidP="003F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31" w:rsidRPr="003F3231" w:rsidRDefault="003F3231">
    <w:pPr>
      <w:pStyle w:val="Header"/>
      <w:rPr>
        <w:color w:val="8DB3E2" w:themeColor="text2" w:themeTint="66"/>
      </w:rPr>
    </w:pPr>
    <w:r w:rsidRPr="003F3231">
      <w:rPr>
        <w:color w:val="8DB3E2" w:themeColor="text2" w:themeTint="66"/>
      </w:rPr>
      <w:t>SB005 – HOW TO MANAGE WHS RISKS – 03 MARCH 2024</w:t>
    </w:r>
  </w:p>
  <w:p w:rsidR="003F3231" w:rsidRPr="003F3231" w:rsidRDefault="003F3231">
    <w:pPr>
      <w:pStyle w:val="Header"/>
      <w:rPr>
        <w:color w:val="8DB3E2" w:themeColor="text2" w:themeTint="6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82B"/>
    <w:multiLevelType w:val="hybridMultilevel"/>
    <w:tmpl w:val="554C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79B6"/>
    <w:multiLevelType w:val="hybridMultilevel"/>
    <w:tmpl w:val="147EA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D4F7C"/>
    <w:multiLevelType w:val="hybridMultilevel"/>
    <w:tmpl w:val="19CAB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3D4F4E"/>
    <w:multiLevelType w:val="hybridMultilevel"/>
    <w:tmpl w:val="6FA8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171E4"/>
    <w:multiLevelType w:val="hybridMultilevel"/>
    <w:tmpl w:val="873C8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F0C28"/>
    <w:multiLevelType w:val="hybridMultilevel"/>
    <w:tmpl w:val="E8246406"/>
    <w:lvl w:ilvl="0" w:tplc="DDDCF74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E77C8"/>
    <w:multiLevelType w:val="hybridMultilevel"/>
    <w:tmpl w:val="A3BCE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81979"/>
    <w:multiLevelType w:val="hybridMultilevel"/>
    <w:tmpl w:val="AE1E3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9164AC"/>
    <w:multiLevelType w:val="hybridMultilevel"/>
    <w:tmpl w:val="078023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54B"/>
    <w:rsid w:val="00132454"/>
    <w:rsid w:val="00275B04"/>
    <w:rsid w:val="003F3231"/>
    <w:rsid w:val="00445DDF"/>
    <w:rsid w:val="004F11C7"/>
    <w:rsid w:val="005B48DE"/>
    <w:rsid w:val="00805B9E"/>
    <w:rsid w:val="0093341C"/>
    <w:rsid w:val="00AA154B"/>
    <w:rsid w:val="00C3419F"/>
    <w:rsid w:val="00CF7F91"/>
    <w:rsid w:val="00DB08AE"/>
    <w:rsid w:val="00EB5BC7"/>
    <w:rsid w:val="00F7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4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7F9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AA154B"/>
    <w:pPr>
      <w:ind w:left="720"/>
      <w:contextualSpacing/>
    </w:pPr>
  </w:style>
  <w:style w:type="table" w:styleId="TableGrid">
    <w:name w:val="Table Grid"/>
    <w:basedOn w:val="TableNormal"/>
    <w:uiPriority w:val="59"/>
    <w:rsid w:val="00AA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A1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F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231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3F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23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3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Graeme</cp:lastModifiedBy>
  <cp:revision>7</cp:revision>
  <cp:lastPrinted>2023-11-28T03:44:00Z</cp:lastPrinted>
  <dcterms:created xsi:type="dcterms:W3CDTF">2023-11-28T00:39:00Z</dcterms:created>
  <dcterms:modified xsi:type="dcterms:W3CDTF">2023-12-26T23:25:00Z</dcterms:modified>
</cp:coreProperties>
</file>